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90" w:rsidRPr="004C3E1C" w:rsidRDefault="00BD2B90" w:rsidP="00352B0D">
      <w:pPr>
        <w:jc w:val="right"/>
        <w:rPr>
          <w:rStyle w:val="FontStyle34"/>
          <w:rFonts w:ascii="Tahoma" w:hAnsi="Tahoma" w:cs="Tahoma"/>
          <w:b/>
        </w:rPr>
      </w:pPr>
      <w:r w:rsidRPr="004C3E1C">
        <w:rPr>
          <w:rStyle w:val="FontStyle34"/>
          <w:rFonts w:ascii="Tahoma" w:hAnsi="Tahoma" w:cs="Tahoma"/>
          <w:b/>
        </w:rPr>
        <w:t>Załącznik nr 5</w:t>
      </w:r>
      <w:r w:rsidR="00C80C16">
        <w:rPr>
          <w:rStyle w:val="FontStyle34"/>
          <w:rFonts w:ascii="Tahoma" w:hAnsi="Tahoma" w:cs="Tahoma"/>
          <w:b/>
        </w:rPr>
        <w:t xml:space="preserve"> do </w:t>
      </w:r>
      <w:r w:rsidR="00C654BE">
        <w:rPr>
          <w:rStyle w:val="FontStyle34"/>
          <w:rFonts w:ascii="Tahoma" w:hAnsi="Tahoma" w:cs="Tahoma"/>
          <w:b/>
        </w:rPr>
        <w:t>SIWZ</w:t>
      </w:r>
    </w:p>
    <w:p w:rsidR="00196E40" w:rsidRDefault="00196E40" w:rsidP="00C57F4E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r>
        <w:rPr>
          <w:rStyle w:val="FontStyle34"/>
          <w:rFonts w:ascii="Tahoma" w:hAnsi="Tahoma" w:cs="Tahoma"/>
          <w:b/>
          <w:sz w:val="24"/>
          <w:szCs w:val="24"/>
        </w:rPr>
        <w:t>WYKAZ OS</w:t>
      </w:r>
      <w:r w:rsidR="0098700B">
        <w:rPr>
          <w:rStyle w:val="FontStyle34"/>
          <w:rFonts w:ascii="Tahoma" w:hAnsi="Tahoma" w:cs="Tahoma"/>
          <w:b/>
          <w:sz w:val="24"/>
          <w:szCs w:val="24"/>
        </w:rPr>
        <w:t>Ó</w:t>
      </w:r>
      <w:r>
        <w:rPr>
          <w:rStyle w:val="FontStyle34"/>
          <w:rFonts w:ascii="Tahoma" w:hAnsi="Tahoma" w:cs="Tahoma"/>
          <w:b/>
          <w:sz w:val="24"/>
          <w:szCs w:val="24"/>
        </w:rPr>
        <w:t>B, KTÓRE BĘDĄ UCZESTNICZYĆ W WYKONANIU ZAMÓWIENIA</w:t>
      </w:r>
    </w:p>
    <w:p w:rsidR="00EF7C9A" w:rsidRDefault="00EF7C9A" w:rsidP="00C57F4E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proofErr w:type="gramStart"/>
      <w:r w:rsidRPr="00F36FC0">
        <w:t>pn</w:t>
      </w:r>
      <w:proofErr w:type="gramEnd"/>
      <w:r w:rsidRPr="00F36FC0">
        <w:t xml:space="preserve">.: </w:t>
      </w:r>
      <w:r w:rsidR="00C10EFF">
        <w:t>„</w:t>
      </w:r>
      <w:r w:rsidR="00330614" w:rsidRPr="00330614">
        <w:rPr>
          <w:b/>
        </w:rPr>
        <w:t>Budowa sieci kanalizacji sanitarnej w obrębie działek o nr ew. 2858/8, 2834 – ul. Św. Zofii i ul. Św. Huberta w Sokołowie Podlaskim.</w:t>
      </w:r>
      <w:bookmarkStart w:id="0" w:name="_GoBack"/>
      <w:bookmarkEnd w:id="0"/>
      <w:r w:rsidRPr="00F36FC0">
        <w:rPr>
          <w:b/>
          <w:bCs/>
        </w:rPr>
        <w:t>”</w:t>
      </w:r>
    </w:p>
    <w:p w:rsidR="00720273" w:rsidRDefault="00F0193F" w:rsidP="001B67D8">
      <w:pPr>
        <w:pStyle w:val="Nagwek1"/>
      </w:pPr>
      <w:r>
        <w:t>Oświadczamy, że</w:t>
      </w:r>
      <w:r w:rsidR="00720273" w:rsidRPr="00B92810">
        <w:t>:</w:t>
      </w:r>
    </w:p>
    <w:p w:rsidR="00B92810" w:rsidRDefault="008F5370" w:rsidP="00352B0D">
      <w:pPr>
        <w:spacing w:before="0"/>
        <w:rPr>
          <w:rFonts w:cs="Tahoma"/>
          <w:szCs w:val="20"/>
        </w:rPr>
      </w:pPr>
      <w:r w:rsidRPr="008F5370">
        <w:rPr>
          <w:rFonts w:cs="Tahoma"/>
          <w:szCs w:val="20"/>
        </w:rPr>
        <w:t xml:space="preserve">Następujące osoby, spełniają wymagania określone w </w:t>
      </w:r>
      <w:r w:rsidR="008438DC">
        <w:rPr>
          <w:rFonts w:cs="Tahoma"/>
          <w:szCs w:val="20"/>
        </w:rPr>
        <w:t>Rozdziale</w:t>
      </w:r>
      <w:r w:rsidRPr="008F5370">
        <w:rPr>
          <w:rFonts w:cs="Tahoma"/>
          <w:szCs w:val="20"/>
        </w:rPr>
        <w:t xml:space="preserve"> </w:t>
      </w:r>
      <w:r w:rsidR="00C10EFF">
        <w:rPr>
          <w:rFonts w:cs="Tahoma"/>
          <w:szCs w:val="20"/>
        </w:rPr>
        <w:t xml:space="preserve">V </w:t>
      </w:r>
      <w:r w:rsidR="00B41671">
        <w:rPr>
          <w:rFonts w:cs="Tahoma"/>
          <w:szCs w:val="20"/>
        </w:rPr>
        <w:t>pkt 2. –</w:t>
      </w:r>
      <w:r w:rsidR="00390465">
        <w:rPr>
          <w:rFonts w:cs="Tahoma"/>
          <w:szCs w:val="20"/>
        </w:rPr>
        <w:t xml:space="preserve"> </w:t>
      </w:r>
      <w:r w:rsidR="00B41671">
        <w:rPr>
          <w:rFonts w:cs="Tahoma"/>
          <w:szCs w:val="20"/>
        </w:rPr>
        <w:t xml:space="preserve">3. </w:t>
      </w:r>
      <w:r w:rsidR="00E46BC9">
        <w:rPr>
          <w:rFonts w:cs="Tahoma"/>
          <w:szCs w:val="20"/>
        </w:rPr>
        <w:t xml:space="preserve">SIWZ </w:t>
      </w:r>
      <w:r w:rsidRPr="008F5370">
        <w:rPr>
          <w:rFonts w:cs="Tahoma"/>
          <w:szCs w:val="20"/>
        </w:rPr>
        <w:t>i będą uczestniczyć w realizacji niniejszego zamówienia:</w:t>
      </w:r>
    </w:p>
    <w:tbl>
      <w:tblPr>
        <w:tblStyle w:val="Tabela-Siatka"/>
        <w:tblW w:w="144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979"/>
        <w:gridCol w:w="1980"/>
        <w:gridCol w:w="1388"/>
        <w:gridCol w:w="1550"/>
        <w:gridCol w:w="1549"/>
        <w:gridCol w:w="1691"/>
        <w:gridCol w:w="2350"/>
      </w:tblGrid>
      <w:tr w:rsidR="00B17B7E" w:rsidRPr="009E75ED" w:rsidTr="004C3E1C">
        <w:trPr>
          <w:cantSplit/>
        </w:trPr>
        <w:tc>
          <w:tcPr>
            <w:tcW w:w="1982" w:type="dxa"/>
            <w:vMerge w:val="restart"/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Imię i nazwisko osoby, która będzie pełnić poszczególne funkcje</w:t>
            </w:r>
          </w:p>
        </w:tc>
        <w:tc>
          <w:tcPr>
            <w:tcW w:w="1979" w:type="dxa"/>
            <w:vMerge w:val="restart"/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Rodzaj specjalności - zakres wykonywanych przez tę osobę czynności</w:t>
            </w:r>
            <w:r>
              <w:rPr>
                <w:sz w:val="16"/>
                <w:szCs w:val="16"/>
              </w:rPr>
              <w:t xml:space="preserve"> (zgodnie z wymogiem SIWZ)</w:t>
            </w:r>
          </w:p>
        </w:tc>
        <w:tc>
          <w:tcPr>
            <w:tcW w:w="1980" w:type="dxa"/>
            <w:vMerge w:val="restart"/>
          </w:tcPr>
          <w:p w:rsidR="00B17B7E" w:rsidRPr="00170991" w:rsidRDefault="00B17B7E" w:rsidP="00C57F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E75ED">
              <w:rPr>
                <w:sz w:val="16"/>
                <w:szCs w:val="16"/>
              </w:rPr>
              <w:t>Podstawa dysponowania tą osobą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28" w:type="dxa"/>
            <w:gridSpan w:val="5"/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Informacje na temat:</w:t>
            </w:r>
          </w:p>
        </w:tc>
      </w:tr>
      <w:tr w:rsidR="00B17B7E" w:rsidRPr="009E75ED" w:rsidTr="004C3E1C">
        <w:trPr>
          <w:cantSplit/>
        </w:trPr>
        <w:tc>
          <w:tcPr>
            <w:tcW w:w="1982" w:type="dxa"/>
            <w:vMerge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</w:tcPr>
          <w:p w:rsidR="00B17B7E" w:rsidRDefault="00B17B7E" w:rsidP="00C57F4E">
            <w:pPr>
              <w:jc w:val="center"/>
              <w:rPr>
                <w:sz w:val="16"/>
                <w:szCs w:val="16"/>
              </w:rPr>
            </w:pPr>
            <w:proofErr w:type="gramStart"/>
            <w:r w:rsidRPr="009E75ED">
              <w:rPr>
                <w:sz w:val="16"/>
                <w:szCs w:val="16"/>
              </w:rPr>
              <w:t>kwalifikacji</w:t>
            </w:r>
            <w:proofErr w:type="gramEnd"/>
            <w:r w:rsidRPr="009E75ED">
              <w:rPr>
                <w:sz w:val="16"/>
                <w:szCs w:val="16"/>
              </w:rPr>
              <w:t xml:space="preserve"> zawodowych</w:t>
            </w:r>
          </w:p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numer</w:t>
            </w:r>
            <w:proofErr w:type="gramEnd"/>
            <w:r>
              <w:rPr>
                <w:sz w:val="16"/>
                <w:szCs w:val="16"/>
              </w:rPr>
              <w:t xml:space="preserve"> i zakres uprawnień </w:t>
            </w:r>
          </w:p>
        </w:tc>
        <w:tc>
          <w:tcPr>
            <w:tcW w:w="7140" w:type="dxa"/>
            <w:gridSpan w:val="4"/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proofErr w:type="gramStart"/>
            <w:r w:rsidRPr="009E75ED">
              <w:rPr>
                <w:sz w:val="16"/>
                <w:szCs w:val="16"/>
              </w:rPr>
              <w:t>doświadczenia</w:t>
            </w:r>
            <w:proofErr w:type="gramEnd"/>
          </w:p>
        </w:tc>
      </w:tr>
      <w:tr w:rsidR="00B17B7E" w:rsidRPr="009E75ED" w:rsidTr="004C3E1C">
        <w:trPr>
          <w:cantSplit/>
        </w:trPr>
        <w:tc>
          <w:tcPr>
            <w:tcW w:w="1982" w:type="dxa"/>
            <w:vMerge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Inwestor</w:t>
            </w:r>
          </w:p>
        </w:tc>
        <w:tc>
          <w:tcPr>
            <w:tcW w:w="1549" w:type="dxa"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Inwestycja i jej dane techniczne</w:t>
            </w:r>
          </w:p>
        </w:tc>
        <w:tc>
          <w:tcPr>
            <w:tcW w:w="1691" w:type="dxa"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Data rozpoczęcia/ zakończenia pełnienia funkcji</w:t>
            </w:r>
            <w:r>
              <w:rPr>
                <w:sz w:val="16"/>
                <w:szCs w:val="16"/>
              </w:rPr>
              <w:t xml:space="preserve"> (miesiąc/rok)</w:t>
            </w:r>
          </w:p>
        </w:tc>
        <w:tc>
          <w:tcPr>
            <w:tcW w:w="2350" w:type="dxa"/>
            <w:tcBorders>
              <w:bottom w:val="single" w:sz="8" w:space="0" w:color="auto"/>
            </w:tcBorders>
          </w:tcPr>
          <w:p w:rsidR="00B17B7E" w:rsidRPr="009E75ED" w:rsidRDefault="00B17B7E" w:rsidP="00C57F4E">
            <w:pPr>
              <w:jc w:val="center"/>
              <w:rPr>
                <w:sz w:val="16"/>
                <w:szCs w:val="16"/>
              </w:rPr>
            </w:pPr>
            <w:r w:rsidRPr="009E75ED">
              <w:rPr>
                <w:sz w:val="16"/>
                <w:szCs w:val="16"/>
              </w:rPr>
              <w:t>Pełniona funkcja</w:t>
            </w:r>
          </w:p>
        </w:tc>
      </w:tr>
      <w:tr w:rsidR="00B17B7E" w:rsidRPr="009E75ED" w:rsidTr="004C3E1C">
        <w:trPr>
          <w:cantSplit/>
        </w:trPr>
        <w:tc>
          <w:tcPr>
            <w:tcW w:w="1982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1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</w:tr>
      <w:tr w:rsidR="00B17B7E" w:rsidRPr="009E75ED" w:rsidTr="004C3E1C">
        <w:trPr>
          <w:cantSplit/>
        </w:trPr>
        <w:tc>
          <w:tcPr>
            <w:tcW w:w="1982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1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</w:tr>
      <w:tr w:rsidR="00B17B7E" w:rsidRPr="009E75ED" w:rsidTr="004C3E1C">
        <w:trPr>
          <w:cantSplit/>
        </w:trPr>
        <w:tc>
          <w:tcPr>
            <w:tcW w:w="1982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1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</w:tr>
      <w:tr w:rsidR="00B17B7E" w:rsidRPr="009E75ED" w:rsidTr="004C3E1C">
        <w:trPr>
          <w:cantSplit/>
        </w:trPr>
        <w:tc>
          <w:tcPr>
            <w:tcW w:w="1982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1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50" w:type="dxa"/>
          </w:tcPr>
          <w:p w:rsidR="00B17B7E" w:rsidRPr="009E75ED" w:rsidRDefault="00B17B7E" w:rsidP="00C57F4E">
            <w:pPr>
              <w:jc w:val="left"/>
              <w:rPr>
                <w:sz w:val="16"/>
                <w:szCs w:val="16"/>
              </w:rPr>
            </w:pPr>
          </w:p>
        </w:tc>
      </w:tr>
    </w:tbl>
    <w:p w:rsidR="00170991" w:rsidRPr="00170991" w:rsidRDefault="00170991" w:rsidP="00C57F4E">
      <w:pPr>
        <w:rPr>
          <w:sz w:val="16"/>
          <w:szCs w:val="16"/>
        </w:rPr>
      </w:pPr>
      <w:r w:rsidRPr="00170991">
        <w:rPr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>)</w:t>
      </w:r>
    </w:p>
    <w:p w:rsidR="00170991" w:rsidRPr="007B22CA" w:rsidRDefault="00170991" w:rsidP="00C57F4E">
      <w:pPr>
        <w:pStyle w:val="Akapitzlist"/>
        <w:numPr>
          <w:ilvl w:val="0"/>
          <w:numId w:val="7"/>
        </w:numPr>
        <w:ind w:left="284" w:hanging="284"/>
        <w:rPr>
          <w:sz w:val="16"/>
          <w:szCs w:val="16"/>
        </w:rPr>
      </w:pPr>
      <w:proofErr w:type="gramStart"/>
      <w:r w:rsidRPr="007B22CA">
        <w:rPr>
          <w:sz w:val="16"/>
          <w:szCs w:val="16"/>
        </w:rPr>
        <w:t>w</w:t>
      </w:r>
      <w:proofErr w:type="gramEnd"/>
      <w:r w:rsidRPr="007B22CA">
        <w:rPr>
          <w:sz w:val="16"/>
          <w:szCs w:val="16"/>
        </w:rPr>
        <w:t xml:space="preserve"> kolumnie „</w:t>
      </w:r>
      <w:r w:rsidR="007B22CA" w:rsidRPr="007B22CA">
        <w:rPr>
          <w:sz w:val="16"/>
          <w:szCs w:val="16"/>
        </w:rPr>
        <w:t>Podstawa dysponowania tą osobą</w:t>
      </w:r>
      <w:r w:rsidRPr="007B22CA">
        <w:rPr>
          <w:sz w:val="16"/>
          <w:szCs w:val="16"/>
        </w:rPr>
        <w:t>”, należy wskazać podstawę dysponowania osobą. Jeżeli Wykonawca polega na osobach zdolnych do</w:t>
      </w:r>
      <w:r w:rsidR="007B22CA" w:rsidRPr="007B22CA">
        <w:rPr>
          <w:sz w:val="16"/>
          <w:szCs w:val="16"/>
        </w:rPr>
        <w:t xml:space="preserve"> </w:t>
      </w:r>
      <w:r w:rsidRPr="007B22CA">
        <w:rPr>
          <w:sz w:val="16"/>
          <w:szCs w:val="16"/>
        </w:rPr>
        <w:t>wykonania zamówienia innych podmiotów, zobowiązany jest udowodnić Zamawiającemu, iż będzie dysponował zasobami niezbędnymi do realizacji</w:t>
      </w:r>
      <w:r w:rsidR="007B22CA" w:rsidRPr="007B22CA">
        <w:rPr>
          <w:sz w:val="16"/>
          <w:szCs w:val="16"/>
        </w:rPr>
        <w:t xml:space="preserve"> </w:t>
      </w:r>
      <w:r w:rsidRPr="007B22CA">
        <w:rPr>
          <w:sz w:val="16"/>
          <w:szCs w:val="16"/>
        </w:rPr>
        <w:t>zamówienia, w szczególności przedstawiając w tym celu pisemne zobowiązanie tych podmiotów do oddania mu do dyspozycji niezbędnych</w:t>
      </w:r>
      <w:r w:rsidR="007B22CA" w:rsidRPr="007B22CA">
        <w:rPr>
          <w:sz w:val="16"/>
          <w:szCs w:val="16"/>
        </w:rPr>
        <w:t xml:space="preserve"> </w:t>
      </w:r>
      <w:r w:rsidRPr="007B22CA">
        <w:rPr>
          <w:sz w:val="16"/>
          <w:szCs w:val="16"/>
        </w:rPr>
        <w:t>zasobów na okres korzystania z nich przy wykonywaniu zamów</w:t>
      </w:r>
      <w:r w:rsidR="00B037DC">
        <w:rPr>
          <w:sz w:val="16"/>
          <w:szCs w:val="16"/>
        </w:rPr>
        <w:t>ienia</w:t>
      </w:r>
      <w:r w:rsidR="004B7B8B">
        <w:rPr>
          <w:sz w:val="16"/>
          <w:szCs w:val="16"/>
        </w:rPr>
        <w:t>,</w:t>
      </w:r>
    </w:p>
    <w:p w:rsidR="00170991" w:rsidRPr="007B22CA" w:rsidRDefault="00170991" w:rsidP="00C57F4E">
      <w:pPr>
        <w:pStyle w:val="Akapitzlist"/>
        <w:numPr>
          <w:ilvl w:val="0"/>
          <w:numId w:val="7"/>
        </w:numPr>
        <w:ind w:left="284" w:hanging="284"/>
        <w:rPr>
          <w:sz w:val="16"/>
          <w:szCs w:val="16"/>
        </w:rPr>
      </w:pPr>
      <w:proofErr w:type="gramStart"/>
      <w:r w:rsidRPr="007B22CA">
        <w:rPr>
          <w:sz w:val="16"/>
          <w:szCs w:val="16"/>
        </w:rPr>
        <w:t>w</w:t>
      </w:r>
      <w:proofErr w:type="gramEnd"/>
      <w:r w:rsidRPr="007B22CA">
        <w:rPr>
          <w:sz w:val="16"/>
          <w:szCs w:val="16"/>
        </w:rPr>
        <w:t xml:space="preserve"> przypadku prowadzenia przez te osoby samodzielnej działalności, należy do oferty dołączyć pisemne zobowiązanie tych osób do podjęcia się</w:t>
      </w:r>
      <w:r w:rsidR="007B22CA" w:rsidRPr="007B22CA">
        <w:rPr>
          <w:sz w:val="16"/>
          <w:szCs w:val="16"/>
        </w:rPr>
        <w:t xml:space="preserve"> </w:t>
      </w:r>
      <w:r w:rsidRPr="007B22CA">
        <w:rPr>
          <w:sz w:val="16"/>
          <w:szCs w:val="16"/>
        </w:rPr>
        <w:t>pełnienia określonej funkcji.</w:t>
      </w:r>
    </w:p>
    <w:p w:rsidR="002E298B" w:rsidRDefault="00B037DC" w:rsidP="001B67D8">
      <w:pPr>
        <w:pStyle w:val="Nagwek1"/>
      </w:pPr>
      <w:r>
        <w:t>Ja</w:t>
      </w:r>
      <w:r w:rsidR="00415BC0">
        <w:t>(my), niżej podpisany(i), przystępując do postępowania o udzielenie zamówienia, oświadczamy, że o</w:t>
      </w:r>
      <w:r w:rsidR="00B2445D">
        <w:t>soby, które będą uczestniczyć w </w:t>
      </w:r>
      <w:r w:rsidR="00415BC0">
        <w:t>wykonywaniu zamówienia, posiadają wymagane up</w:t>
      </w:r>
      <w:r w:rsidR="00545DEC">
        <w:t>rawnienia</w:t>
      </w:r>
    </w:p>
    <w:p w:rsidR="00D74A14" w:rsidRDefault="00721049" w:rsidP="00C57F4E">
      <w:pPr>
        <w:tabs>
          <w:tab w:val="left" w:leader="dot" w:pos="2268"/>
          <w:tab w:val="left" w:leader="dot" w:pos="3686"/>
        </w:tabs>
        <w:jc w:val="left"/>
      </w:pPr>
      <w:r>
        <w:tab/>
      </w:r>
      <w:r w:rsidR="00E4206D">
        <w:t xml:space="preserve"> </w:t>
      </w:r>
      <w:r w:rsidR="003E0318">
        <w:t>D</w:t>
      </w:r>
      <w:r>
        <w:t>nia</w:t>
      </w:r>
      <w:r w:rsidR="00E4206D">
        <w:t xml:space="preserve"> </w:t>
      </w:r>
      <w:r w:rsidR="003E0318">
        <w:tab/>
      </w:r>
    </w:p>
    <w:tbl>
      <w:tblPr>
        <w:tblStyle w:val="Tabela-Siatka"/>
        <w:tblW w:w="4253" w:type="dxa"/>
        <w:tblInd w:w="10456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D69FD" w:rsidRPr="004B7B8B" w:rsidTr="00ED69FD">
        <w:trPr>
          <w:trHeight w:val="602"/>
        </w:trPr>
        <w:tc>
          <w:tcPr>
            <w:tcW w:w="4253" w:type="dxa"/>
            <w:vAlign w:val="bottom"/>
          </w:tcPr>
          <w:p w:rsidR="00ED69FD" w:rsidRPr="004B7B8B" w:rsidRDefault="00ED69FD" w:rsidP="00C57F4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</w:rPr>
            </w:pPr>
            <w:proofErr w:type="gramStart"/>
            <w:r w:rsidRPr="004B7B8B">
              <w:rPr>
                <w:rFonts w:ascii="TT76o00" w:hAnsi="TT76o00" w:cs="TT76o00"/>
                <w:i/>
                <w:szCs w:val="20"/>
              </w:rPr>
              <w:t>podpisy</w:t>
            </w:r>
            <w:proofErr w:type="gramEnd"/>
            <w:r w:rsidRPr="004B7B8B">
              <w:rPr>
                <w:rFonts w:ascii="TT76o00" w:hAnsi="TT76o00" w:cs="TT76o00"/>
                <w:i/>
                <w:szCs w:val="20"/>
              </w:rPr>
              <w:t xml:space="preserve"> osób uprawnionych do reprezentacji</w:t>
            </w:r>
            <w:r w:rsidRPr="004B7B8B">
              <w:rPr>
                <w:rFonts w:ascii="TT76o00" w:hAnsi="TT76o00" w:cs="TT76o00"/>
                <w:i/>
                <w:szCs w:val="20"/>
              </w:rPr>
              <w:br/>
              <w:t>Wykonawcy lub pełnomocnika</w:t>
            </w:r>
          </w:p>
        </w:tc>
      </w:tr>
    </w:tbl>
    <w:p w:rsidR="001C2D7B" w:rsidRPr="00947C5B" w:rsidRDefault="001C2D7B" w:rsidP="001B67D8">
      <w:pPr>
        <w:rPr>
          <w:sz w:val="16"/>
          <w:szCs w:val="16"/>
        </w:rPr>
      </w:pPr>
    </w:p>
    <w:sectPr w:rsidR="001C2D7B" w:rsidRPr="00947C5B" w:rsidSect="001B67D8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6E" w:rsidRDefault="002D636E" w:rsidP="00A174B9">
      <w:pPr>
        <w:spacing w:after="0"/>
      </w:pPr>
      <w:r>
        <w:separator/>
      </w:r>
    </w:p>
  </w:endnote>
  <w:endnote w:type="continuationSeparator" w:id="0">
    <w:p w:rsidR="002D636E" w:rsidRDefault="002D636E" w:rsidP="00A17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T7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6E" w:rsidRDefault="002D636E" w:rsidP="00A174B9">
      <w:pPr>
        <w:spacing w:after="0"/>
      </w:pPr>
      <w:r>
        <w:separator/>
      </w:r>
    </w:p>
  </w:footnote>
  <w:footnote w:type="continuationSeparator" w:id="0">
    <w:p w:rsidR="002D636E" w:rsidRDefault="002D636E" w:rsidP="00A174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E76"/>
    <w:multiLevelType w:val="hybridMultilevel"/>
    <w:tmpl w:val="093ECE86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3BFC"/>
    <w:multiLevelType w:val="multilevel"/>
    <w:tmpl w:val="56428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B932ECE"/>
    <w:multiLevelType w:val="hybridMultilevel"/>
    <w:tmpl w:val="D0446706"/>
    <w:lvl w:ilvl="0" w:tplc="53CE91A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01467"/>
    <w:multiLevelType w:val="hybridMultilevel"/>
    <w:tmpl w:val="CC6AB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63544"/>
    <w:multiLevelType w:val="multilevel"/>
    <w:tmpl w:val="F816066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314255C"/>
    <w:multiLevelType w:val="hybridMultilevel"/>
    <w:tmpl w:val="C394837A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E32F5"/>
    <w:multiLevelType w:val="hybridMultilevel"/>
    <w:tmpl w:val="182E1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634D9"/>
    <w:multiLevelType w:val="hybridMultilevel"/>
    <w:tmpl w:val="3D9262FE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1"/>
    <w:rsid w:val="00004AF9"/>
    <w:rsid w:val="00044721"/>
    <w:rsid w:val="00051CD3"/>
    <w:rsid w:val="0005779D"/>
    <w:rsid w:val="000710A6"/>
    <w:rsid w:val="00081E91"/>
    <w:rsid w:val="00084E4D"/>
    <w:rsid w:val="000E1AAF"/>
    <w:rsid w:val="000E3469"/>
    <w:rsid w:val="000E7EC7"/>
    <w:rsid w:val="001434AA"/>
    <w:rsid w:val="00144E00"/>
    <w:rsid w:val="00152320"/>
    <w:rsid w:val="00161576"/>
    <w:rsid w:val="0016267B"/>
    <w:rsid w:val="00170991"/>
    <w:rsid w:val="00175047"/>
    <w:rsid w:val="00196E40"/>
    <w:rsid w:val="001A653C"/>
    <w:rsid w:val="001A70E4"/>
    <w:rsid w:val="001B06F4"/>
    <w:rsid w:val="001B67D8"/>
    <w:rsid w:val="001C2D7B"/>
    <w:rsid w:val="001C3C2D"/>
    <w:rsid w:val="001E397F"/>
    <w:rsid w:val="00200BEE"/>
    <w:rsid w:val="00214770"/>
    <w:rsid w:val="00222DCF"/>
    <w:rsid w:val="00235C6F"/>
    <w:rsid w:val="0026396D"/>
    <w:rsid w:val="00273156"/>
    <w:rsid w:val="00277778"/>
    <w:rsid w:val="002B0713"/>
    <w:rsid w:val="002D636E"/>
    <w:rsid w:val="002E298B"/>
    <w:rsid w:val="002E311C"/>
    <w:rsid w:val="002F78F3"/>
    <w:rsid w:val="00322812"/>
    <w:rsid w:val="00324964"/>
    <w:rsid w:val="00330614"/>
    <w:rsid w:val="00352B0D"/>
    <w:rsid w:val="00363ED3"/>
    <w:rsid w:val="00371954"/>
    <w:rsid w:val="00382DA6"/>
    <w:rsid w:val="00390465"/>
    <w:rsid w:val="003B0BB4"/>
    <w:rsid w:val="003B66DC"/>
    <w:rsid w:val="003C7A65"/>
    <w:rsid w:val="003E0318"/>
    <w:rsid w:val="003F0BF2"/>
    <w:rsid w:val="003F1C57"/>
    <w:rsid w:val="00415BC0"/>
    <w:rsid w:val="00420974"/>
    <w:rsid w:val="00433B45"/>
    <w:rsid w:val="00443564"/>
    <w:rsid w:val="004751FE"/>
    <w:rsid w:val="0049220F"/>
    <w:rsid w:val="004B7B8B"/>
    <w:rsid w:val="004C0576"/>
    <w:rsid w:val="004C3E1C"/>
    <w:rsid w:val="004C63E8"/>
    <w:rsid w:val="004D5531"/>
    <w:rsid w:val="004F23C0"/>
    <w:rsid w:val="005165CE"/>
    <w:rsid w:val="005254A9"/>
    <w:rsid w:val="00545DEC"/>
    <w:rsid w:val="005549EB"/>
    <w:rsid w:val="00575384"/>
    <w:rsid w:val="00587671"/>
    <w:rsid w:val="005A1464"/>
    <w:rsid w:val="005A3EDC"/>
    <w:rsid w:val="005A4DD8"/>
    <w:rsid w:val="005B0144"/>
    <w:rsid w:val="005C58CF"/>
    <w:rsid w:val="005D7203"/>
    <w:rsid w:val="005E322E"/>
    <w:rsid w:val="005E7DD6"/>
    <w:rsid w:val="005F306C"/>
    <w:rsid w:val="005F4332"/>
    <w:rsid w:val="005F6DAB"/>
    <w:rsid w:val="00615C69"/>
    <w:rsid w:val="00624D11"/>
    <w:rsid w:val="00684EA6"/>
    <w:rsid w:val="00686171"/>
    <w:rsid w:val="006B01D8"/>
    <w:rsid w:val="006C0E67"/>
    <w:rsid w:val="006D0CC1"/>
    <w:rsid w:val="006F2589"/>
    <w:rsid w:val="00706AE1"/>
    <w:rsid w:val="0070765C"/>
    <w:rsid w:val="00720273"/>
    <w:rsid w:val="00721049"/>
    <w:rsid w:val="00736AAD"/>
    <w:rsid w:val="00783503"/>
    <w:rsid w:val="00791726"/>
    <w:rsid w:val="007976BE"/>
    <w:rsid w:val="007B22CA"/>
    <w:rsid w:val="007B554C"/>
    <w:rsid w:val="007F5BA9"/>
    <w:rsid w:val="008178FB"/>
    <w:rsid w:val="00824C58"/>
    <w:rsid w:val="008438DC"/>
    <w:rsid w:val="00847099"/>
    <w:rsid w:val="008506AE"/>
    <w:rsid w:val="00851865"/>
    <w:rsid w:val="0087486C"/>
    <w:rsid w:val="00883564"/>
    <w:rsid w:val="00893EEA"/>
    <w:rsid w:val="00896C9C"/>
    <w:rsid w:val="008A769B"/>
    <w:rsid w:val="008C18D3"/>
    <w:rsid w:val="008C32CE"/>
    <w:rsid w:val="008C6967"/>
    <w:rsid w:val="008E1D1D"/>
    <w:rsid w:val="008F235D"/>
    <w:rsid w:val="008F5370"/>
    <w:rsid w:val="009023C2"/>
    <w:rsid w:val="00925401"/>
    <w:rsid w:val="009264BD"/>
    <w:rsid w:val="009316BD"/>
    <w:rsid w:val="00931B2B"/>
    <w:rsid w:val="00940BC1"/>
    <w:rsid w:val="00945882"/>
    <w:rsid w:val="00947C5B"/>
    <w:rsid w:val="00957003"/>
    <w:rsid w:val="00975E82"/>
    <w:rsid w:val="0098700B"/>
    <w:rsid w:val="009A1587"/>
    <w:rsid w:val="009A780D"/>
    <w:rsid w:val="009B14E4"/>
    <w:rsid w:val="009E7415"/>
    <w:rsid w:val="009E75ED"/>
    <w:rsid w:val="009F5C34"/>
    <w:rsid w:val="009F7B9E"/>
    <w:rsid w:val="00A04A37"/>
    <w:rsid w:val="00A074E6"/>
    <w:rsid w:val="00A10447"/>
    <w:rsid w:val="00A174B9"/>
    <w:rsid w:val="00A214B5"/>
    <w:rsid w:val="00A22D66"/>
    <w:rsid w:val="00A336FC"/>
    <w:rsid w:val="00A77D42"/>
    <w:rsid w:val="00A93942"/>
    <w:rsid w:val="00AA634F"/>
    <w:rsid w:val="00AB3EF2"/>
    <w:rsid w:val="00AF1BA5"/>
    <w:rsid w:val="00AF6355"/>
    <w:rsid w:val="00B037DC"/>
    <w:rsid w:val="00B12C35"/>
    <w:rsid w:val="00B17B7E"/>
    <w:rsid w:val="00B2445D"/>
    <w:rsid w:val="00B41671"/>
    <w:rsid w:val="00B46167"/>
    <w:rsid w:val="00B537E9"/>
    <w:rsid w:val="00B56ECF"/>
    <w:rsid w:val="00B64F60"/>
    <w:rsid w:val="00B81A4F"/>
    <w:rsid w:val="00B92810"/>
    <w:rsid w:val="00BA0734"/>
    <w:rsid w:val="00BA1BC2"/>
    <w:rsid w:val="00BB03BC"/>
    <w:rsid w:val="00BB06B9"/>
    <w:rsid w:val="00BC4AEC"/>
    <w:rsid w:val="00BC7110"/>
    <w:rsid w:val="00BD2B90"/>
    <w:rsid w:val="00BD37CF"/>
    <w:rsid w:val="00BD50C7"/>
    <w:rsid w:val="00BF1543"/>
    <w:rsid w:val="00C103B9"/>
    <w:rsid w:val="00C10EFF"/>
    <w:rsid w:val="00C34C2C"/>
    <w:rsid w:val="00C57710"/>
    <w:rsid w:val="00C579D1"/>
    <w:rsid w:val="00C57F4E"/>
    <w:rsid w:val="00C654BE"/>
    <w:rsid w:val="00C75E07"/>
    <w:rsid w:val="00C80C16"/>
    <w:rsid w:val="00C86A48"/>
    <w:rsid w:val="00CD35A5"/>
    <w:rsid w:val="00CD6E6B"/>
    <w:rsid w:val="00CE1CA0"/>
    <w:rsid w:val="00D13C84"/>
    <w:rsid w:val="00D21221"/>
    <w:rsid w:val="00D32418"/>
    <w:rsid w:val="00D74A14"/>
    <w:rsid w:val="00D9534E"/>
    <w:rsid w:val="00DB4F3B"/>
    <w:rsid w:val="00DE3A1D"/>
    <w:rsid w:val="00DE4B9C"/>
    <w:rsid w:val="00DE74B9"/>
    <w:rsid w:val="00E04B9B"/>
    <w:rsid w:val="00E17BAB"/>
    <w:rsid w:val="00E4206D"/>
    <w:rsid w:val="00E46BC9"/>
    <w:rsid w:val="00E64808"/>
    <w:rsid w:val="00E66048"/>
    <w:rsid w:val="00E702E2"/>
    <w:rsid w:val="00E82910"/>
    <w:rsid w:val="00E83DEC"/>
    <w:rsid w:val="00E903FD"/>
    <w:rsid w:val="00EA011D"/>
    <w:rsid w:val="00EA2869"/>
    <w:rsid w:val="00ED69FD"/>
    <w:rsid w:val="00EE5A84"/>
    <w:rsid w:val="00EF7C9A"/>
    <w:rsid w:val="00F00A32"/>
    <w:rsid w:val="00F0193F"/>
    <w:rsid w:val="00F17FAA"/>
    <w:rsid w:val="00F41781"/>
    <w:rsid w:val="00F459CC"/>
    <w:rsid w:val="00F607A7"/>
    <w:rsid w:val="00F60DCD"/>
    <w:rsid w:val="00F615E1"/>
    <w:rsid w:val="00F63929"/>
    <w:rsid w:val="00FA04EC"/>
    <w:rsid w:val="00FA2CBB"/>
    <w:rsid w:val="00FB1CC8"/>
    <w:rsid w:val="00FC440D"/>
    <w:rsid w:val="00FC6254"/>
    <w:rsid w:val="00FD6AB2"/>
    <w:rsid w:val="00FD7957"/>
    <w:rsid w:val="00FF1583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76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67D8"/>
    <w:pPr>
      <w:keepLines/>
      <w:numPr>
        <w:numId w:val="1"/>
      </w:numPr>
      <w:tabs>
        <w:tab w:val="left" w:pos="851"/>
      </w:tabs>
      <w:spacing w:before="240" w:after="24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074E6"/>
    <w:pPr>
      <w:keepLines/>
      <w:numPr>
        <w:ilvl w:val="1"/>
        <w:numId w:val="3"/>
      </w:numPr>
      <w:tabs>
        <w:tab w:val="left" w:pos="851"/>
      </w:tabs>
      <w:ind w:left="851" w:hanging="567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1B67D8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074E6"/>
    <w:rPr>
      <w:rFonts w:ascii="Tahoma" w:eastAsiaTheme="majorEastAsia" w:hAnsi="Tahoma" w:cstheme="majorBidi"/>
      <w:bCs/>
      <w:sz w:val="20"/>
      <w:szCs w:val="26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721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7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00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00B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00B"/>
    <w:rPr>
      <w:rFonts w:ascii="Tahoma" w:hAnsi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76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67D8"/>
    <w:pPr>
      <w:keepLines/>
      <w:numPr>
        <w:numId w:val="1"/>
      </w:numPr>
      <w:tabs>
        <w:tab w:val="left" w:pos="851"/>
      </w:tabs>
      <w:spacing w:before="240" w:after="24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074E6"/>
    <w:pPr>
      <w:keepLines/>
      <w:numPr>
        <w:ilvl w:val="1"/>
        <w:numId w:val="3"/>
      </w:numPr>
      <w:tabs>
        <w:tab w:val="left" w:pos="851"/>
      </w:tabs>
      <w:ind w:left="851" w:hanging="567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1B67D8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074E6"/>
    <w:rPr>
      <w:rFonts w:ascii="Tahoma" w:eastAsiaTheme="majorEastAsia" w:hAnsi="Tahoma" w:cstheme="majorBidi"/>
      <w:bCs/>
      <w:sz w:val="20"/>
      <w:szCs w:val="26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721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7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00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00B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00B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BB22-84F4-4CD8-8F23-0BD63303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prz_wdo</dc:creator>
  <cp:lastModifiedBy>Przemysław Wdowiński</cp:lastModifiedBy>
  <cp:revision>15</cp:revision>
  <cp:lastPrinted>2025-08-04T10:32:00Z</cp:lastPrinted>
  <dcterms:created xsi:type="dcterms:W3CDTF">2018-06-07T09:13:00Z</dcterms:created>
  <dcterms:modified xsi:type="dcterms:W3CDTF">2025-08-05T10:19:00Z</dcterms:modified>
</cp:coreProperties>
</file>